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27ED" w:rsidRDefault="00BA25B9" w:rsidP="000E27ED">
      <w:pPr>
        <w:pStyle w:val="a3"/>
        <w:numPr>
          <w:ilvl w:val="0"/>
          <w:numId w:val="2"/>
        </w:numPr>
        <w:ind w:firstLineChars="0"/>
      </w:pPr>
      <w:r>
        <w:t>流通加工是指</w:t>
      </w:r>
      <w:r>
        <w:t>“</w:t>
      </w:r>
      <w:r>
        <w:t>根据顾客的需要，在流通过程中对产品实施的简单加工作业活动（如包装、分割、计量、分拣、刷标志、拴标签、组装等）的总称</w:t>
      </w:r>
      <w:r>
        <w:t>”</w:t>
      </w:r>
    </w:p>
    <w:p w:rsidR="00BA25B9" w:rsidRDefault="00BA25B9" w:rsidP="00BA25B9">
      <w:pPr>
        <w:pStyle w:val="a3"/>
        <w:numPr>
          <w:ilvl w:val="0"/>
          <w:numId w:val="2"/>
        </w:numPr>
        <w:ind w:firstLineChars="0"/>
      </w:pPr>
      <w:r>
        <w:t>流通加工的作用</w:t>
      </w:r>
      <w:r>
        <w:cr/>
        <w:t xml:space="preserve">1. </w:t>
      </w:r>
      <w:r>
        <w:t>弥补生产加工的不足，方便顾客购买和使用</w:t>
      </w:r>
      <w:r>
        <w:rPr>
          <w:rFonts w:hint="eastAsia"/>
        </w:rPr>
        <w:t>，满足顾客个性化需求。</w:t>
      </w:r>
      <w:r>
        <w:cr/>
        <w:t xml:space="preserve">2. </w:t>
      </w:r>
      <w:r>
        <w:t>提高物料利用率、设备利用率和劳动生产率</w:t>
      </w:r>
      <w:r>
        <w:t xml:space="preserve"> </w:t>
      </w:r>
      <w:r>
        <w:rPr>
          <w:rFonts w:hint="eastAsia"/>
        </w:rPr>
        <w:t>，扩大规模，集中加工。</w:t>
      </w:r>
      <w:r>
        <w:cr/>
        <w:t xml:space="preserve">3. </w:t>
      </w:r>
      <w:r>
        <w:t>充分利用送达手段</w:t>
      </w:r>
      <w:r>
        <w:rPr>
          <w:rFonts w:hint="eastAsia"/>
        </w:rPr>
        <w:t>。</w:t>
      </w:r>
      <w:r>
        <w:cr/>
        <w:t xml:space="preserve">4. </w:t>
      </w:r>
      <w:r>
        <w:t>提高产品经济价值</w:t>
      </w:r>
      <w:r>
        <w:t xml:space="preserve"> </w:t>
      </w:r>
      <w:r>
        <w:rPr>
          <w:rFonts w:hint="eastAsia"/>
        </w:rPr>
        <w:t>。</w:t>
      </w:r>
      <w:r>
        <w:cr/>
        <w:t xml:space="preserve">37.  </w:t>
      </w:r>
      <w:r>
        <w:t>按照不同的加工目的，流通加工可以分为如下几类：</w:t>
      </w:r>
      <w:r>
        <w:cr/>
        <w:t>1.</w:t>
      </w:r>
      <w:r>
        <w:t>为便于保管、存储产品而进行的流通加工</w:t>
      </w:r>
      <w:r>
        <w:cr/>
        <w:t>2.</w:t>
      </w:r>
      <w:r>
        <w:t>以满足需求多样化为目的而进行的流通加工</w:t>
      </w:r>
      <w:r>
        <w:t xml:space="preserve"> </w:t>
      </w:r>
      <w:r>
        <w:cr/>
        <w:t>3.</w:t>
      </w:r>
      <w:r>
        <w:t>以促进销售为目的而进行的流通加工</w:t>
      </w:r>
      <w:r>
        <w:br/>
        <w:t>4.</w:t>
      </w:r>
      <w:r>
        <w:t>以降低物流损耗为目的而进行的流通加工</w:t>
      </w:r>
      <w:r>
        <w:t xml:space="preserve"> </w:t>
      </w:r>
      <w:r>
        <w:cr/>
        <w:t>5.</w:t>
      </w:r>
      <w:r>
        <w:t>以提高物料利用率为目的而进行的流通加工</w:t>
      </w:r>
      <w:r>
        <w:t xml:space="preserve"> </w:t>
      </w:r>
      <w:r>
        <w:cr/>
        <w:t>6.</w:t>
      </w:r>
      <w:r>
        <w:t>以获取经济效益为目的而进行的流通加工</w:t>
      </w:r>
    </w:p>
    <w:p w:rsidR="000E27ED" w:rsidRDefault="000E27ED" w:rsidP="00BA25B9">
      <w:pPr>
        <w:pStyle w:val="a3"/>
        <w:numPr>
          <w:ilvl w:val="0"/>
          <w:numId w:val="2"/>
        </w:numPr>
        <w:ind w:firstLineChars="0"/>
      </w:pPr>
    </w:p>
    <w:p w:rsidR="00BA25B9" w:rsidRDefault="00BA25B9" w:rsidP="00BA25B9">
      <w:r>
        <w:rPr>
          <w:noProof/>
        </w:rPr>
        <w:drawing>
          <wp:inline distT="0" distB="0" distL="0" distR="0" wp14:anchorId="228CED08" wp14:editId="136E0CCC">
            <wp:extent cx="2628900" cy="1112138"/>
            <wp:effectExtent l="0" t="0" r="0" b="0"/>
            <wp:docPr id="1027"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1"/>
                    <pic:cNvPicPr/>
                  </pic:nvPicPr>
                  <pic:blipFill>
                    <a:blip r:embed="rId5" cstate="print"/>
                    <a:srcRect/>
                    <a:stretch/>
                  </pic:blipFill>
                  <pic:spPr>
                    <a:xfrm>
                      <a:off x="0" y="0"/>
                      <a:ext cx="2628900" cy="1112138"/>
                    </a:xfrm>
                    <a:prstGeom prst="rect">
                      <a:avLst/>
                    </a:prstGeom>
                  </pic:spPr>
                </pic:pic>
              </a:graphicData>
            </a:graphic>
          </wp:inline>
        </w:drawing>
      </w:r>
      <w:r>
        <w:t>.</w:t>
      </w:r>
    </w:p>
    <w:p w:rsidR="000E27ED" w:rsidRDefault="000E27ED" w:rsidP="000E27ED">
      <w:pPr>
        <w:pStyle w:val="a3"/>
        <w:numPr>
          <w:ilvl w:val="0"/>
          <w:numId w:val="2"/>
        </w:numPr>
        <w:ind w:firstLineChars="0"/>
      </w:pPr>
      <w:r>
        <w:rPr>
          <w:rFonts w:hint="eastAsia"/>
        </w:rPr>
        <w:t xml:space="preserve"> </w:t>
      </w:r>
    </w:p>
    <w:p w:rsidR="00BA25B9" w:rsidRDefault="00BA25B9" w:rsidP="00BA25B9">
      <w:r>
        <w:rPr>
          <w:noProof/>
        </w:rPr>
        <w:drawing>
          <wp:inline distT="0" distB="0" distL="0" distR="0" wp14:anchorId="7FEDAD1F" wp14:editId="5C17753F">
            <wp:extent cx="2350636" cy="1598716"/>
            <wp:effectExtent l="0" t="0" r="0" b="0"/>
            <wp:docPr id="1028"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1"/>
                    <pic:cNvPicPr/>
                  </pic:nvPicPr>
                  <pic:blipFill>
                    <a:blip r:embed="rId6" cstate="print"/>
                    <a:srcRect/>
                    <a:stretch/>
                  </pic:blipFill>
                  <pic:spPr>
                    <a:xfrm>
                      <a:off x="0" y="0"/>
                      <a:ext cx="2350636" cy="1598716"/>
                    </a:xfrm>
                    <a:prstGeom prst="rect">
                      <a:avLst/>
                    </a:prstGeom>
                  </pic:spPr>
                </pic:pic>
              </a:graphicData>
            </a:graphic>
          </wp:inline>
        </w:drawing>
      </w:r>
    </w:p>
    <w:p w:rsidR="00BA25B9" w:rsidRDefault="00BA25B9" w:rsidP="000E27ED">
      <w:pPr>
        <w:pStyle w:val="a3"/>
        <w:numPr>
          <w:ilvl w:val="0"/>
          <w:numId w:val="2"/>
        </w:numPr>
        <w:ind w:firstLineChars="0"/>
      </w:pPr>
      <w:r>
        <w:rPr>
          <w:rFonts w:hint="eastAsia"/>
        </w:rPr>
        <w:t>自营配送模式：企业对配送系统运行具有支配权。</w:t>
      </w:r>
    </w:p>
    <w:p w:rsidR="00BA25B9" w:rsidRDefault="00BA25B9" w:rsidP="000E27ED">
      <w:pPr>
        <w:pStyle w:val="a3"/>
        <w:numPr>
          <w:ilvl w:val="0"/>
          <w:numId w:val="2"/>
        </w:numPr>
        <w:ind w:firstLineChars="0"/>
      </w:pPr>
      <w:r>
        <w:rPr>
          <w:rFonts w:hint="eastAsia"/>
        </w:rPr>
        <w:t>第三方配送模式：提高配送效率。</w:t>
      </w:r>
    </w:p>
    <w:p w:rsidR="00BA25B9" w:rsidRDefault="00BA25B9" w:rsidP="000E27ED">
      <w:pPr>
        <w:pStyle w:val="a3"/>
        <w:numPr>
          <w:ilvl w:val="0"/>
          <w:numId w:val="2"/>
        </w:numPr>
        <w:ind w:firstLineChars="0"/>
      </w:pPr>
      <w:r>
        <w:rPr>
          <w:rFonts w:hint="eastAsia"/>
        </w:rPr>
        <w:t>共同配送模式：减小配送风险，提高资源配置。</w:t>
      </w:r>
    </w:p>
    <w:p w:rsidR="00BA25B9" w:rsidRDefault="00BA25B9" w:rsidP="000E27ED">
      <w:pPr>
        <w:pStyle w:val="a3"/>
        <w:numPr>
          <w:ilvl w:val="0"/>
          <w:numId w:val="2"/>
        </w:numPr>
        <w:ind w:firstLineChars="0"/>
      </w:pPr>
      <w:r>
        <w:rPr>
          <w:rFonts w:hint="eastAsia"/>
        </w:rPr>
        <w:t>互用配送模式：资源共享。</w:t>
      </w:r>
    </w:p>
    <w:p w:rsidR="00BA25B9" w:rsidRDefault="00BA25B9" w:rsidP="000E27ED">
      <w:pPr>
        <w:pStyle w:val="a3"/>
        <w:numPr>
          <w:ilvl w:val="0"/>
          <w:numId w:val="2"/>
        </w:numPr>
        <w:ind w:firstLineChars="0"/>
      </w:pPr>
      <w:r>
        <w:rPr>
          <w:rFonts w:hint="eastAsia"/>
        </w:rPr>
        <w:t>物流信息是指“反映物流各种活动内容的知识、资料、图像、数据文件的总称”。</w:t>
      </w:r>
    </w:p>
    <w:p w:rsidR="00BA25B9" w:rsidRDefault="00BA25B9" w:rsidP="000E27ED">
      <w:pPr>
        <w:pStyle w:val="a3"/>
        <w:numPr>
          <w:ilvl w:val="0"/>
          <w:numId w:val="2"/>
        </w:numPr>
        <w:ind w:firstLineChars="0"/>
      </w:pPr>
      <w:r>
        <w:t>物流信息的特点</w:t>
      </w:r>
      <w:r>
        <w:rPr>
          <w:rFonts w:hint="eastAsia"/>
        </w:rPr>
        <w:t>：</w:t>
      </w:r>
      <w:r>
        <w:t>广泛性</w:t>
      </w:r>
      <w:r w:rsidR="000E27ED">
        <w:t xml:space="preserve"> </w:t>
      </w:r>
      <w:r>
        <w:t>真实性</w:t>
      </w:r>
      <w:r w:rsidR="000E27ED">
        <w:t xml:space="preserve"> </w:t>
      </w:r>
      <w:r>
        <w:t>时效性</w:t>
      </w:r>
      <w:r w:rsidR="000E27ED">
        <w:t xml:space="preserve"> </w:t>
      </w:r>
      <w:r>
        <w:t>共享性</w:t>
      </w:r>
    </w:p>
    <w:p w:rsidR="00BA25B9" w:rsidRDefault="00BA25B9" w:rsidP="000E27ED">
      <w:pPr>
        <w:pStyle w:val="a3"/>
        <w:numPr>
          <w:ilvl w:val="0"/>
          <w:numId w:val="2"/>
        </w:numPr>
        <w:ind w:firstLineChars="0"/>
      </w:pPr>
      <w:r>
        <w:rPr>
          <w:rFonts w:hint="eastAsia"/>
        </w:rPr>
        <w:t>物流信息技术：（</w:t>
      </w:r>
      <w:r>
        <w:t>1</w:t>
      </w:r>
      <w:r>
        <w:rPr>
          <w:rFonts w:hint="eastAsia"/>
        </w:rPr>
        <w:t>）条码技术（</w:t>
      </w:r>
      <w:r>
        <w:t>2</w:t>
      </w:r>
      <w:r>
        <w:rPr>
          <w:rFonts w:hint="eastAsia"/>
        </w:rPr>
        <w:t>）扫描技术</w:t>
      </w:r>
    </w:p>
    <w:p w:rsidR="00BA25B9" w:rsidRDefault="00BA25B9" w:rsidP="000E27ED">
      <w:pPr>
        <w:pStyle w:val="a3"/>
        <w:numPr>
          <w:ilvl w:val="0"/>
          <w:numId w:val="2"/>
        </w:numPr>
        <w:ind w:firstLineChars="0"/>
      </w:pPr>
      <w:r>
        <w:t>电子数据交换技术被定义为：</w:t>
      </w:r>
      <w:r>
        <w:t>“</w:t>
      </w:r>
      <w:r>
        <w:t>采用标准化的格式，利用计算机网络进行业务数据的传输和处理</w:t>
      </w:r>
      <w:r>
        <w:t>”</w:t>
      </w:r>
    </w:p>
    <w:p w:rsidR="00BA25B9" w:rsidRDefault="00BA25B9" w:rsidP="000E27ED">
      <w:pPr>
        <w:pStyle w:val="a3"/>
        <w:numPr>
          <w:ilvl w:val="0"/>
          <w:numId w:val="2"/>
        </w:numPr>
        <w:ind w:firstLineChars="0"/>
      </w:pPr>
      <w:r>
        <w:t>物流信息是指</w:t>
      </w:r>
      <w:r>
        <w:t>“</w:t>
      </w:r>
      <w:r>
        <w:t>反映物流各种活动内容的知识、资料、图像、数据文件的总称。</w:t>
      </w:r>
      <w:r>
        <w:t>”</w:t>
      </w:r>
      <w:r>
        <w:cr/>
      </w:r>
      <w:r>
        <w:t>物流信息技术是指</w:t>
      </w:r>
      <w:r>
        <w:t>“</w:t>
      </w:r>
      <w:r>
        <w:t>物流各环节中应用的信息技术，包括计算机、网络、信息分类编码、自动识别、电子数据交换、全球定位系统、地理信息系统等技术。</w:t>
      </w:r>
      <w:r>
        <w:t xml:space="preserve">” </w:t>
      </w:r>
      <w:r>
        <w:cr/>
      </w:r>
      <w:r>
        <w:t>条码是指</w:t>
      </w:r>
      <w:r>
        <w:t>“</w:t>
      </w:r>
      <w:r>
        <w:t>由一组规则排列的条、空及其对应字符组成的，用以表示一定信息的标识。</w:t>
      </w:r>
      <w:r>
        <w:t>”</w:t>
      </w:r>
      <w:r>
        <w:cr/>
      </w:r>
      <w:r>
        <w:lastRenderedPageBreak/>
        <w:t>射频识别是指</w:t>
      </w:r>
      <w:r>
        <w:t>“</w:t>
      </w:r>
      <w:r>
        <w:t>通过射频信号识别目标对象并获取相关数据信息的一种非接触式的自动识别技术。</w:t>
      </w:r>
      <w:r>
        <w:t>”</w:t>
      </w:r>
      <w:r>
        <w:cr/>
        <w:t>GPS</w:t>
      </w:r>
      <w:r>
        <w:t>是指</w:t>
      </w:r>
      <w:r>
        <w:t>“</w:t>
      </w:r>
      <w:r>
        <w:t>由美国建设和控制的一组卫星组成的，</w:t>
      </w:r>
      <w:r>
        <w:t>24</w:t>
      </w:r>
      <w:r>
        <w:t>小时提供高精度的全球范围的定位和导航信息的系统。</w:t>
      </w:r>
      <w:r>
        <w:t>”</w:t>
      </w:r>
    </w:p>
    <w:p w:rsidR="00BA25B9" w:rsidRDefault="00BA25B9" w:rsidP="000E27ED">
      <w:pPr>
        <w:pStyle w:val="a3"/>
        <w:numPr>
          <w:ilvl w:val="0"/>
          <w:numId w:val="2"/>
        </w:numPr>
        <w:ind w:firstLineChars="0"/>
      </w:pPr>
      <w:r>
        <w:t>在中国，对供应链的研究其实并不落后于其他国家，但各行业整体呈现出的供应链竞争力却偏弱。对供应链管理有所注重的，主要还是一些核心企业，主要侧重于对供应商和分销商的管理。一个企业光靠商业模式创新、产品创新，已无法走得太远。如果重财务、重营销、轻运营、供应链管理不到位，它甚至可能会因为供应链上某一环的掉队，导致整个模式的崩塌。</w:t>
      </w:r>
    </w:p>
    <w:p w:rsidR="00BA25B9" w:rsidRDefault="00BA25B9" w:rsidP="000E27ED">
      <w:pPr>
        <w:pStyle w:val="a3"/>
        <w:numPr>
          <w:ilvl w:val="0"/>
          <w:numId w:val="2"/>
        </w:numPr>
        <w:ind w:firstLineChars="0"/>
      </w:pPr>
      <w:r>
        <w:rPr>
          <w:rFonts w:hint="eastAsia"/>
        </w:rPr>
        <w:t>全球供应链、协同与融合、供应链金融、智慧供应链、绿色。这五个关键词不仅体现出中国供应</w:t>
      </w:r>
      <w:proofErr w:type="gramStart"/>
      <w:r>
        <w:rPr>
          <w:rFonts w:hint="eastAsia"/>
        </w:rPr>
        <w:t>链发展</w:t>
      </w:r>
      <w:proofErr w:type="gramEnd"/>
      <w:r>
        <w:rPr>
          <w:rFonts w:hint="eastAsia"/>
        </w:rPr>
        <w:t>的特色和内涵，而且还预示出中国供应链的五点发展趋势。</w:t>
      </w:r>
    </w:p>
    <w:p w:rsidR="00BA25B9" w:rsidRDefault="00BA25B9" w:rsidP="000E27ED">
      <w:pPr>
        <w:pStyle w:val="a3"/>
        <w:numPr>
          <w:ilvl w:val="0"/>
          <w:numId w:val="2"/>
        </w:numPr>
        <w:ind w:firstLineChars="0"/>
      </w:pPr>
    </w:p>
    <w:p w:rsidR="00BA25B9" w:rsidRDefault="00BA25B9" w:rsidP="00BA25B9">
      <w:r>
        <w:rPr>
          <w:noProof/>
        </w:rPr>
        <w:drawing>
          <wp:inline distT="0" distB="0" distL="0" distR="0" wp14:anchorId="0AF9DCD0" wp14:editId="2E98D2C2">
            <wp:extent cx="2628900" cy="1246007"/>
            <wp:effectExtent l="0" t="0" r="0" b="0"/>
            <wp:docPr id="1029"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1"/>
                    <pic:cNvPicPr/>
                  </pic:nvPicPr>
                  <pic:blipFill>
                    <a:blip r:embed="rId7" cstate="print"/>
                    <a:srcRect/>
                    <a:stretch/>
                  </pic:blipFill>
                  <pic:spPr>
                    <a:xfrm>
                      <a:off x="0" y="0"/>
                      <a:ext cx="2628900" cy="1246007"/>
                    </a:xfrm>
                    <a:prstGeom prst="rect">
                      <a:avLst/>
                    </a:prstGeom>
                  </pic:spPr>
                </pic:pic>
              </a:graphicData>
            </a:graphic>
          </wp:inline>
        </w:drawing>
      </w:r>
    </w:p>
    <w:p w:rsidR="000E27ED" w:rsidRDefault="000E27ED" w:rsidP="000E27ED">
      <w:pPr>
        <w:pStyle w:val="a3"/>
        <w:numPr>
          <w:ilvl w:val="0"/>
          <w:numId w:val="2"/>
        </w:numPr>
        <w:ind w:firstLineChars="0"/>
        <w:rPr>
          <w:rFonts w:hint="eastAsia"/>
        </w:rPr>
      </w:pPr>
      <w:r>
        <w:rPr>
          <w:rFonts w:hint="eastAsia"/>
        </w:rPr>
        <w:t xml:space="preserve"> </w:t>
      </w:r>
      <w:bookmarkStart w:id="0" w:name="_GoBack"/>
      <w:bookmarkEnd w:id="0"/>
    </w:p>
    <w:p w:rsidR="00BA25B9" w:rsidRDefault="00BA25B9" w:rsidP="000E27ED">
      <w:r>
        <w:t xml:space="preserve"> </w:t>
      </w:r>
      <w:r>
        <w:rPr>
          <w:noProof/>
        </w:rPr>
        <w:drawing>
          <wp:inline distT="0" distB="0" distL="0" distR="0" wp14:anchorId="37DA22FC" wp14:editId="467CF477">
            <wp:extent cx="2628900" cy="1428217"/>
            <wp:effectExtent l="0" t="0" r="0" b="0"/>
            <wp:docPr id="1030"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1"/>
                    <pic:cNvPicPr/>
                  </pic:nvPicPr>
                  <pic:blipFill>
                    <a:blip r:embed="rId8" cstate="print"/>
                    <a:srcRect/>
                    <a:stretch/>
                  </pic:blipFill>
                  <pic:spPr>
                    <a:xfrm>
                      <a:off x="0" y="0"/>
                      <a:ext cx="2628900" cy="1428217"/>
                    </a:xfrm>
                    <a:prstGeom prst="rect">
                      <a:avLst/>
                    </a:prstGeom>
                  </pic:spPr>
                </pic:pic>
              </a:graphicData>
            </a:graphic>
          </wp:inline>
        </w:drawing>
      </w:r>
    </w:p>
    <w:p w:rsidR="00032238" w:rsidRDefault="00032238"/>
    <w:sectPr w:rsidR="0003223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altName w:val="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A"/>
    <w:multiLevelType w:val="hybridMultilevel"/>
    <w:tmpl w:val="C4B03816"/>
    <w:lvl w:ilvl="0" w:tplc="0409000F">
      <w:start w:val="40"/>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6B1C67DA"/>
    <w:multiLevelType w:val="hybridMultilevel"/>
    <w:tmpl w:val="05863304"/>
    <w:lvl w:ilvl="0" w:tplc="2C8C8022">
      <w:start w:val="1"/>
      <w:numFmt w:val="decimal"/>
      <w:lvlText w:val="%1."/>
      <w:lvlJc w:val="left"/>
      <w:pPr>
        <w:ind w:left="375" w:hanging="3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5B9"/>
    <w:rsid w:val="00032238"/>
    <w:rsid w:val="000E27ED"/>
    <w:rsid w:val="00BA25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3115C8"/>
  <w15:chartTrackingRefBased/>
  <w15:docId w15:val="{AE407B58-915A-4A30-B4B9-74444A7811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25B9"/>
    <w:pPr>
      <w:widowControl w:val="0"/>
      <w:jc w:val="both"/>
    </w:pPr>
    <w:rPr>
      <w:rFonts w:ascii="Calibri" w:eastAsia="宋体" w:hAnsi="Calibri"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A25B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152</Words>
  <Characters>872</Characters>
  <Application>Microsoft Office Word</Application>
  <DocSecurity>0</DocSecurity>
  <Lines>7</Lines>
  <Paragraphs>2</Paragraphs>
  <ScaleCrop>false</ScaleCrop>
  <Company/>
  <LinksUpToDate>false</LinksUpToDate>
  <CharactersWithSpaces>1022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2022-12-03T10:23:00Z</dcterms:created>
  <dcterms:modified xsi:type="dcterms:W3CDTF">2022-12-03T10:31:00Z</dcterms:modified>
</cp:coreProperties>
</file>